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F" w:rsidRDefault="00210DDF">
      <w:pPr>
        <w:spacing w:after="0"/>
        <w:ind w:left="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Znak sprawy: OP-II.082.3.26.2021.JSl/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MBi</w:t>
      </w:r>
      <w:proofErr w:type="spellEnd"/>
    </w:p>
    <w:p w:rsidR="00210DDF" w:rsidRDefault="00BE2566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Załącznik nr 1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WZ</w:t>
      </w:r>
    </w:p>
    <w:p w:rsidR="00210DDF" w:rsidRDefault="00210DDF">
      <w:pPr>
        <w:spacing w:after="0"/>
        <w:ind w:left="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spacing w:after="0"/>
        <w:ind w:left="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</w:t>
      </w:r>
    </w:p>
    <w:p w:rsidR="00210DDF" w:rsidRDefault="00210DDF">
      <w:pPr>
        <w:spacing w:after="0"/>
        <w:ind w:left="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F" w:rsidRDefault="00210DDF">
      <w:pPr>
        <w:spacing w:after="0"/>
        <w:ind w:left="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F" w:rsidRDefault="00BE2566">
      <w:pPr>
        <w:spacing w:after="0"/>
        <w:ind w:left="24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Zamówienie pn. „Organizacja spotkań informacyjnych w roku 2021/2022 na potrzeby projektu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nr POIS.02.04.00-00-0193/16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Opracowanie planów zadań ochronnych dla obszarów Natura 2000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””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prelegent</w:t>
      </w:r>
    </w:p>
    <w:p w:rsidR="00210DDF" w:rsidRDefault="00210DD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F" w:rsidRDefault="00210DD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F" w:rsidRDefault="00BE2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Opis przedmiotu zamówienia</w:t>
      </w:r>
    </w:p>
    <w:p w:rsidR="00210DDF" w:rsidRDefault="00BE2566">
      <w:pPr>
        <w:spacing w:before="120" w:after="0"/>
        <w:ind w:left="567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Zamówienie obejmuje przeprowadzenie dziesięciu 6-godzinnych spotkań szkoleniowych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edukacyjnych) w tematyce obszarów Natura 2000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(8 spot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kań w formie stacjonarnej oraz 2 spotkań w formie on-line za pośrednictwem platformy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0DDF" w:rsidRDefault="00BE2566">
      <w:pPr>
        <w:spacing w:before="120" w:after="0"/>
        <w:ind w:left="566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dpu9fkt7ekz3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do rezygnacji z części zamówienia w wymiarze maksymalnie 2 spotkań, informując o tym wcześniej Wykonawcę (nie później niż na 30 dni przed zakończeniem umowy).</w:t>
      </w:r>
    </w:p>
    <w:p w:rsidR="00210DDF" w:rsidRDefault="00BE2566">
      <w:pPr>
        <w:spacing w:before="120" w:after="0"/>
        <w:ind w:left="567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yqs02lihav5c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Spotkania będą przeprowadzane dla wybranych grup interesariuszy z obszarów Natura 2000, dla których opracowywane są plany zadań ochronnych w ramach projektu nr: POIS.02.04.00-00-0193/16 pn.: 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Opracowanie planów zadań ochronnych dla obszarów Natura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r>
        <w:rPr>
          <w:rFonts w:ascii="Times New Roman" w:eastAsia="Times New Roman" w:hAnsi="Times New Roman" w:cs="Times New Roman"/>
          <w:sz w:val="24"/>
          <w:szCs w:val="24"/>
        </w:rPr>
        <w:t>tj.: Polana Biały Potok PLH120026, Nawojowa PLH120035, Łabowa PLH120036, Krzeszowice PLH120044, Niedzica PLH120045, Kościół w Węglówce PLH120046, Ochotnica PLH120050, Źródliska Wisłoki PLH120057, Cedron PLH120060, Biała Góra PLH120061, Dębnicko-Tyniecki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szar łąkowy PLH120065, Skawiński obszar łąkowy PLH120079,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Rudniańskie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Modraszki-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Kajasówka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PLH120077, Dębówka nad rzeką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Uszewką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PLH120066, Dolina rzeki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Gróbki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PLH120067, Łąki koło Kasiny Wielkiej PLH120082,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PLH120091,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Pleszczotka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PLH120092, Raba z M</w:t>
      </w:r>
      <w:r>
        <w:rPr>
          <w:rFonts w:ascii="Times New Roman" w:eastAsia="Times New Roman" w:hAnsi="Times New Roman" w:cs="Times New Roman"/>
          <w:sz w:val="24"/>
          <w:szCs w:val="24"/>
        </w:rPr>
        <w:t>szanką PLH120093, Tylmanowa PLH120095, Lipówka PLH120010. Wymienione powyżej obszary zostaną pogrupowane tematycznie po 2-3 obszary (1 spotkanie szkoleniowe).</w:t>
      </w:r>
    </w:p>
    <w:p w:rsidR="00210DDF" w:rsidRDefault="00210DDF">
      <w:pPr>
        <w:spacing w:before="120" w:after="0"/>
        <w:ind w:left="567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k1mkcdhgbm3r" w:colFirst="0" w:colLast="0"/>
      <w:bookmarkEnd w:id="5"/>
    </w:p>
    <w:p w:rsidR="00210DDF" w:rsidRDefault="00BE2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0j0zll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Szczegółowy zakres usługi</w:t>
      </w:r>
    </w:p>
    <w:p w:rsidR="00210DDF" w:rsidRDefault="00BE2566">
      <w:pPr>
        <w:numPr>
          <w:ilvl w:val="0"/>
          <w:numId w:val="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Wykonawca przeprowadzi łącznie dziesięć, 6-godzinnych spotkań szkoleni</w:t>
      </w:r>
      <w:r>
        <w:rPr>
          <w:rFonts w:ascii="Times New Roman" w:eastAsia="Times New Roman" w:hAnsi="Times New Roman" w:cs="Times New Roman"/>
          <w:sz w:val="24"/>
          <w:szCs w:val="24"/>
        </w:rPr>
        <w:t>owych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edukacyjnych) o  tematyce związanej z obszarami Natura 2000. Celem spotkań jest wzrost poziomu wiedzy oraz podniesienie świadomości wśród uczestników spotkań na temat: funkcjonowania sieci Natura 2000 w Polsce i na świecie, potrzeb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metod ochrony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siedlisk przyrodniczych oraz gatunków roślin i zwierząt oraz ich zagrożeń, planowania ochrony na obszarach Natura 2000 poprzez sporządzane plany zadań ochronnych i plany ochrony, korzyści dla człowieka z wdrożenia obszarów Natura 2</w:t>
      </w:r>
      <w:r>
        <w:rPr>
          <w:rFonts w:ascii="Times New Roman" w:eastAsia="Times New Roman" w:hAnsi="Times New Roman" w:cs="Times New Roman"/>
          <w:sz w:val="24"/>
          <w:szCs w:val="24"/>
        </w:rPr>
        <w:t>000 oraz możliwości rozwoju regionu.</w:t>
      </w:r>
    </w:p>
    <w:p w:rsidR="00210DDF" w:rsidRDefault="00BE256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Terminy spotkań i podział spotkań na bloki tematyczne dla 2- 3 obszarów Natura 2000, zostaną ustalane z Wykonawcą po podpisaniu umowy. Czas trwania jednego spotkania: 6 godzin (łącznie z dwoma przerwami). </w:t>
      </w:r>
    </w:p>
    <w:p w:rsidR="00210DDF" w:rsidRDefault="00BE256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Spotkania mog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odbywać się w jednej z dwóch form: stacjonarnie lub online za pośrednictwem platformy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 związku z utrzymującą się sytuację epidemiologiczną w kraju). Sposób prowadzenia poszczególnych spotkań będzie bezpośrednio uzależniony od aktualnych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dany czas wytycznych rządowych dotyczących Covid-19. Zamawiający zastrzega sobie prawo, że w sytuacji niemożliwości przeprowadzenia planowanych spotkań w formie stacjonarnej całość zamówienia zostanie zrealizowana poprzez szkolenia online za pośrednict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wem platformy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0DDF" w:rsidRDefault="00BE2566">
      <w:pPr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Planowana liczba uczestników na spotkaniu stacjonarnym: do 30 osób, na spotkaniu online za pośrednictwem platformy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bez limitu osób.</w:t>
      </w:r>
    </w:p>
    <w:p w:rsidR="00210DDF" w:rsidRDefault="00BE2566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podczas spotkań szkoleniowych, oprócz standardowych prezentacji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ultimedialnych,  zobowiązany jest do stosowania metod aktywizujących i form warsztatowych np.: dyskusja, debata. </w:t>
      </w:r>
    </w:p>
    <w:p w:rsidR="00210DDF" w:rsidRDefault="00210D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DDF" w:rsidRDefault="00BE2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Szczegóły organizacyjne </w:t>
      </w:r>
    </w:p>
    <w:p w:rsidR="00210DDF" w:rsidRDefault="00210DDF">
      <w:pPr>
        <w:pBdr>
          <w:top w:val="nil"/>
          <w:left w:val="nil"/>
          <w:bottom w:val="nil"/>
          <w:right w:val="nil"/>
          <w:between w:val="nil"/>
        </w:pBdr>
        <w:spacing w:after="0"/>
        <w:ind w:left="2847" w:right="1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10DDF" w:rsidRDefault="00BE25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usługi do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kalendarzowych po podpisaniu umowy, przekaże Zamawiającemu opracowany, szczegółowy program spotkania do akceptacji. Program powinien w jak największym stopniu być dostosowany do charakteru poszczególn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obszar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Natura 2000 (przedmioty ochrony i 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ochrona, gospodarowanie na obszarach, kierunek rozwoju regionu). Program spotkania musi zawierać: zagadnienia tematyczne wskazane w pkt. VII </w:t>
      </w:r>
      <w:r>
        <w:rPr>
          <w:rFonts w:ascii="Times New Roman" w:eastAsia="Times New Roman" w:hAnsi="Times New Roman" w:cs="Times New Roman"/>
          <w:sz w:val="24"/>
          <w:szCs w:val="24"/>
        </w:rPr>
        <w:t>OPZ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przedziały czasowe każdego panelu oraz przerw. </w:t>
      </w:r>
      <w:r>
        <w:rPr>
          <w:rFonts w:ascii="Times New Roman" w:eastAsia="Times New Roman" w:hAnsi="Times New Roman" w:cs="Times New Roman"/>
          <w:sz w:val="24"/>
          <w:szCs w:val="24"/>
        </w:rPr>
        <w:t>Zamawiający wniesie uwagi lub zaakceptuje programy spotkań do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kalendarzowych od dnia ich otrzymania.</w:t>
      </w:r>
    </w:p>
    <w:p w:rsidR="00210DDF" w:rsidRDefault="00BE25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spotkań prowadzonych stacjonarnie, Wykonawca usługi zobowiązany jest dotrzeć na miejsce spotkania we własnym zakresie, we wskazanym przez Wykonawcę terminie, co najmniej piętnaście minut przed rozpocz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ęciem spotkania. W przypadku spotkań prowadzonych online, Wykonawca usługi zobowiązany jest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 wcześniejszego połączenia za pośrednictwem platformy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 celu sprawdzenia jakości połączenia i widoczności prezentowanych materiałów.</w:t>
      </w:r>
    </w:p>
    <w:p w:rsidR="00210DDF" w:rsidRDefault="00BE25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przeprowa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dzonym spotkaniu, Wykonawca przekaże Zamawiającemu materiały ze spotkania (np. prezentację multimedialną) w celu udostępnienia uczestnikom. </w:t>
      </w:r>
    </w:p>
    <w:p w:rsidR="00210DDF" w:rsidRDefault="00BE25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jest do przygotowania zakresu merytorycznego spotkania zgodnie z obowiązującymi wymogami praw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 aktualną wiedzą przyrodniczą.</w:t>
      </w:r>
    </w:p>
    <w:p w:rsidR="00210DDF" w:rsidRDefault="00BE25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zobowiązany jest zamieścić na prezentacji i innych materiałach szkoleniowych, logo RDOŚ w Krakowie oraz logotyp w ciągu znaków: Fundusze Europejskie Infrastruktura i Środowisko, Generalna Dyrekcja Ochrony Środowi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ska, RDOŚ w Krakowie, Unia Europejska Fundusz Spójności. Logotypy zostaną przekazane Wykonawcy po podpisaniu umowy.</w:t>
      </w:r>
    </w:p>
    <w:p w:rsidR="00210DDF" w:rsidRDefault="00BE25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Kwestie organizacyjne, tj.:  ob</w:t>
      </w:r>
      <w:r>
        <w:rPr>
          <w:rFonts w:ascii="Times New Roman" w:eastAsia="Times New Roman" w:hAnsi="Times New Roman" w:cs="Times New Roman"/>
          <w:sz w:val="24"/>
          <w:szCs w:val="24"/>
        </w:rPr>
        <w:t>sługa logistyczna transmisji spotkania online, a w przypadku spotkań stacjonarnych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sali, caterin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 oraz projektora multimedialnego, ekranu i laptopa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leżą po stronie Zamawiającego. </w:t>
      </w:r>
    </w:p>
    <w:p w:rsidR="00210DDF" w:rsidRDefault="00BE2566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usługi Wykonawca w terminie do 7 dni po każdym spotkaniu, sporządzi sprawozdanie z przebiegu spotkania, uwzględniające pytania uczestników oraz odpowiedzi na nie. Sprawozdanie należy dostarczyć w wersji elektronicznej na adres mailowy osób wyznacz</w:t>
      </w:r>
      <w:r>
        <w:rPr>
          <w:rFonts w:ascii="Times New Roman" w:eastAsia="Times New Roman" w:hAnsi="Times New Roman" w:cs="Times New Roman"/>
          <w:sz w:val="24"/>
          <w:szCs w:val="24"/>
        </w:rPr>
        <w:t>onych w umowie do kontaktu.</w:t>
      </w:r>
    </w:p>
    <w:p w:rsidR="00210DDF" w:rsidRDefault="00210DDF">
      <w:pPr>
        <w:spacing w:before="120"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Termin realizacji zamówienia</w:t>
      </w:r>
    </w:p>
    <w:p w:rsidR="00210DDF" w:rsidRDefault="00BE2566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będzie wykonywał zamówienie w okresie od dnia podpisania umowy w sprawie zamówienia publicznego do dnia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czerwca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</w:rPr>
        <w:t>, gdzie poszczególne terminy spotkań będą wcześniej ustalane z Zamawiającym, z zastrzeżeniem że w roku 2021 zostanie przeprowadzonych 6 -7 spotkań, natomiast w roku 2022 pozostałe z 10 spotkań.</w:t>
      </w:r>
    </w:p>
    <w:p w:rsidR="00210DDF" w:rsidRDefault="00210DDF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Odbiór przedmiotu umowy</w:t>
      </w:r>
    </w:p>
    <w:p w:rsidR="00210DDF" w:rsidRDefault="00BE256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Odbiór nastąpi poprzez pod</w:t>
      </w:r>
      <w:r>
        <w:rPr>
          <w:rFonts w:ascii="Times New Roman" w:eastAsia="Times New Roman" w:hAnsi="Times New Roman" w:cs="Times New Roman"/>
          <w:sz w:val="24"/>
          <w:szCs w:val="24"/>
        </w:rPr>
        <w:t>pisanie przez obie Strony protokołów odbioru częściowego, potwierdzających prawidłowość wykonania umowy.</w:t>
      </w:r>
    </w:p>
    <w:p w:rsidR="00210DDF" w:rsidRDefault="00BE256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Końcowy odbiór całego przedmiotu umowy nastąpi poprzez spisanie protokołu końcowego odbioru całego przedmiotu umowy przez obie strony, który zostanie s</w:t>
      </w:r>
      <w:r>
        <w:rPr>
          <w:rFonts w:ascii="Times New Roman" w:eastAsia="Times New Roman" w:hAnsi="Times New Roman" w:cs="Times New Roman"/>
          <w:sz w:val="24"/>
          <w:szCs w:val="24"/>
        </w:rPr>
        <w:t>porządzony na podstawie wszystkich protokołów odbioru częściowego. Strony spiszą powyższy protokół po prawidłowym zorganizowaniu przez Wykonawcę ostatniego ze spotkań objętych umową oraz odbierze kompletu sprawozdań.</w:t>
      </w:r>
    </w:p>
    <w:p w:rsidR="00210DDF" w:rsidRDefault="00BE2566">
      <w:pPr>
        <w:spacing w:after="0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  Zagadnienia tematyczne, które należy poruszyć na spotkaniu szkoleniowym:</w:t>
      </w:r>
    </w:p>
    <w:p w:rsidR="00210DDF" w:rsidRDefault="00210DDF">
      <w:pPr>
        <w:spacing w:after="0"/>
        <w:ind w:left="567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4"/>
        </w:numPr>
        <w:tabs>
          <w:tab w:val="left" w:pos="993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Sieć obsza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rów Natura 2000 w Polsce i Europie</w:t>
      </w:r>
    </w:p>
    <w:p w:rsidR="00210DDF" w:rsidRDefault="00BE2566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Istota, cele, zasady i sposób organizacji sieci Natura w Europie i Polsce; rodzaje obszarów i przykłady z regionu; prawo krajowe i międzynarodowe; wyznaczanie obszarów.</w:t>
      </w: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4"/>
        </w:numPr>
        <w:tabs>
          <w:tab w:val="left" w:pos="993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Przedmioty ochrony – metody ochrony i zagrożenia</w:t>
      </w:r>
    </w:p>
    <w:p w:rsidR="00210DDF" w:rsidRDefault="00BE2566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Potrzeba i metody ochrony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siedlisk przyrodniczych oraz gatunków roślin, zwierząt i ich siedlisk; zagrożenia dla siedlisk i gatunków chronionych w ramach sieci Natura 2000; potencjalne konflikty na styku ochrony obszarów Natura 2000 z ich wykorzy</w:t>
      </w:r>
      <w:r>
        <w:rPr>
          <w:rFonts w:ascii="Times New Roman" w:eastAsia="Times New Roman" w:hAnsi="Times New Roman" w:cs="Times New Roman"/>
          <w:sz w:val="24"/>
          <w:szCs w:val="24"/>
        </w:rPr>
        <w:t>stywaniem na cele społeczne i gospodarcze; środki minimalizujące zagrożenie; działania ochronne, monitoringi – dobre praktyki.</w:t>
      </w: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F" w:rsidRDefault="00BE2566">
      <w:pPr>
        <w:numPr>
          <w:ilvl w:val="0"/>
          <w:numId w:val="4"/>
        </w:numPr>
        <w:tabs>
          <w:tab w:val="left" w:pos="993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zadań ochronnych jako narzędzie skutecznej ochrony obszaru Natura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DDF" w:rsidRDefault="00BE2566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Inwentaryzacje przyrodnicze; zawartość planów ochro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i planów zadań ochronnych; plany w systemie prawnym; rola Zespołów Lokalnej Współpracy. </w:t>
      </w: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4"/>
        </w:numPr>
        <w:tabs>
          <w:tab w:val="left" w:pos="993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Ochrona obszarów Natura 2000 i gospodarowanie na nich w świetle obowiązującego prawa</w:t>
      </w:r>
    </w:p>
    <w:p w:rsidR="00210DDF" w:rsidRDefault="00BE2566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i podstawy prawne gospodarowania na obszarach Natura 2000; dopuszczalne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kierunki gospodarowania oraz możliwość wsparcia finansowego np. dopłaty rolnośrodowiskowe.</w:t>
      </w: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4"/>
        </w:numPr>
        <w:tabs>
          <w:tab w:val="left" w:pos="993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Udział społeczeństwa w ochronie obszarów Natura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DDF" w:rsidRDefault="00BE2566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Problematyka społecznego postrzegania Natury 2000; obowiązki zarządców i właścicieli na działkach znajdującyc</w:t>
      </w:r>
      <w:r>
        <w:rPr>
          <w:rFonts w:ascii="Times New Roman" w:eastAsia="Times New Roman" w:hAnsi="Times New Roman" w:cs="Times New Roman"/>
          <w:sz w:val="24"/>
          <w:szCs w:val="24"/>
        </w:rPr>
        <w:t>h się w granicach obszaru Natura 2000 – fakty i mity; potrzeba edukacji społeczności lokalnej; możliwość udziału społeczeństwa w wyznaczaniu obszarów, sporządzaniu planów zadań ochronnych i działaniach ochronnych obszarów.</w:t>
      </w: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4"/>
        </w:numPr>
        <w:tabs>
          <w:tab w:val="left" w:pos="993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Natura 2000 a zrównoważony rozwó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 regionu </w:t>
      </w:r>
    </w:p>
    <w:p w:rsidR="00210DDF" w:rsidRDefault="00BE2566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Ekomizacja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działań ochrony przyrody - wykorzystanie zasobów przyrodniczych obszarów Natura 2000 do rozwoju regionu (turystyka, agroturystyka, tworzenie produktów i usług, kreowanie marki turystycznej i proekologicznego produktu turystycznego); o</w:t>
      </w:r>
      <w:r>
        <w:rPr>
          <w:rFonts w:ascii="Times New Roman" w:eastAsia="Times New Roman" w:hAnsi="Times New Roman" w:cs="Times New Roman"/>
          <w:sz w:val="24"/>
          <w:szCs w:val="24"/>
        </w:rPr>
        <w:t>bszar Natura 2000 jako obszar inwestowania; Natura 2000 w strategiach rozwoju oraz politykach lokalnych, regionalnych i ponadregionalnych.</w:t>
      </w: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BE2566">
      <w:pPr>
        <w:numPr>
          <w:ilvl w:val="0"/>
          <w:numId w:val="4"/>
        </w:numPr>
        <w:tabs>
          <w:tab w:val="left" w:pos="993"/>
        </w:tabs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Procedury i postępowania administracyjne uwzględniające Naturę 2000</w:t>
      </w:r>
    </w:p>
    <w:p w:rsidR="00210DDF" w:rsidRDefault="00BE2566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oddziaływania na obszary Natura 2000 – spe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cyfika, procedura przeprowadzenia oceny; kiedy należy przeprowadzić ocenę oddziaływania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 obszar Natura 2000, interwencje i sposoby postępowania w sytuacjach wystąpienia działań negatywnie oddziałujących na przedmioty ochrony. </w:t>
      </w: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DDF" w:rsidRDefault="00210DDF">
      <w:pPr>
        <w:tabs>
          <w:tab w:val="left" w:pos="993"/>
        </w:tabs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0D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5" w:right="1417" w:bottom="1985" w:left="1417" w:header="340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2566">
      <w:pPr>
        <w:spacing w:after="0" w:line="240" w:lineRule="auto"/>
      </w:pPr>
      <w:r>
        <w:separator/>
      </w:r>
    </w:p>
  </w:endnote>
  <w:endnote w:type="continuationSeparator" w:id="0">
    <w:p w:rsidR="00000000" w:rsidRDefault="00B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DF" w:rsidRDefault="00BE25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5760720" cy="569603"/>
          <wp:effectExtent l="0" t="0" r="0" b="0"/>
          <wp:docPr id="443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9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DF" w:rsidRDefault="00BE25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284" w:hanging="426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5760720" cy="569603"/>
          <wp:effectExtent l="0" t="0" r="0" b="0"/>
          <wp:docPr id="443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9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2566">
      <w:pPr>
        <w:spacing w:after="0" w:line="240" w:lineRule="auto"/>
      </w:pPr>
      <w:r>
        <w:separator/>
      </w:r>
    </w:p>
  </w:footnote>
  <w:footnote w:type="continuationSeparator" w:id="0">
    <w:p w:rsidR="00000000" w:rsidRDefault="00BE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DF" w:rsidRDefault="00BE25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134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4908550" cy="936625"/>
          <wp:effectExtent l="0" t="0" r="0" b="0"/>
          <wp:docPr id="44340" name="image1.png" descr="logo_RDOS_Kraków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DOS_Kraków_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8550" cy="936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DF" w:rsidRDefault="00BE25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851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>
          <wp:extent cx="4908550" cy="936625"/>
          <wp:effectExtent l="0" t="0" r="0" b="0"/>
          <wp:docPr id="44338" name="image1.png" descr="logo_RDOS_Kraków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DOS_Kraków_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8550" cy="936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3BA"/>
    <w:multiLevelType w:val="multilevel"/>
    <w:tmpl w:val="5E86B9C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BC2AC7"/>
    <w:multiLevelType w:val="multilevel"/>
    <w:tmpl w:val="8092E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0A30DC"/>
    <w:multiLevelType w:val="multilevel"/>
    <w:tmpl w:val="3AC4C13A"/>
    <w:lvl w:ilvl="0">
      <w:start w:val="1"/>
      <w:numFmt w:val="upperLetter"/>
      <w:lvlText w:val="%1."/>
      <w:lvlJc w:val="left"/>
      <w:pPr>
        <w:ind w:left="284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1FBE"/>
    <w:multiLevelType w:val="multilevel"/>
    <w:tmpl w:val="EF2C2B76"/>
    <w:lvl w:ilvl="0">
      <w:start w:val="1"/>
      <w:numFmt w:val="upperRoman"/>
      <w:lvlText w:val="%1."/>
      <w:lvlJc w:val="left"/>
      <w:pPr>
        <w:ind w:left="2847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DF"/>
    <w:rsid w:val="00210DDF"/>
    <w:rsid w:val="00B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DCB6A-84BD-49A3-A420-9FC271F3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rPr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B8454E"/>
    <w:pPr>
      <w:keepNext/>
      <w:keepLines/>
      <w:numPr>
        <w:numId w:val="1"/>
      </w:numPr>
      <w:spacing w:after="174" w:line="259" w:lineRule="auto"/>
      <w:ind w:left="245"/>
      <w:outlineLvl w:val="0"/>
    </w:pPr>
    <w:rPr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0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C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1"/>
    <w:next w:val="Normalny1"/>
    <w:rsid w:val="00E47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4740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474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4740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E47401"/>
  </w:style>
  <w:style w:type="table" w:customStyle="1" w:styleId="TableNormal0">
    <w:name w:val="Table Normal"/>
    <w:rsid w:val="00E47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8454E"/>
    <w:rPr>
      <w:rFonts w:cs="Calibri"/>
      <w:color w:val="000000"/>
      <w:sz w:val="28"/>
      <w:szCs w:val="2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011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F7BF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BF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87D77"/>
    <w:pPr>
      <w:widowControl w:val="0"/>
      <w:suppressAutoHyphens/>
      <w:autoSpaceDE w:val="0"/>
      <w:ind w:left="425" w:hanging="425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CA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2DD7"/>
    <w:rPr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B5148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8B0C1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C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C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FT9W2l6N+dELTGkcdQ/82GQRw==">AMUW2mWWD01MfJ11uqzv9l7hrMMMM4K1FHoe4fZnz4rbB1DWsklME61i4S5jxqRigInfGYu4g50Am0302dL3IFiWGTPW/dCbA68cIDwIkAgxH6bs3XGvqfyHxIaZEVWFZTRWgNMlmD/3TDBZaV9CmOggGcS8c4PkFHBV61Mo6cZMZUjv8zZ/vSIzzGybdUsaCRwNFjr/kAXTraY/4gS5DMsxri5f5B4uew==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Michna</dc:creator>
  <cp:lastModifiedBy>Izabela Znamirowska</cp:lastModifiedBy>
  <cp:revision>2</cp:revision>
  <dcterms:created xsi:type="dcterms:W3CDTF">2021-04-19T09:56:00Z</dcterms:created>
  <dcterms:modified xsi:type="dcterms:W3CDTF">2021-06-25T08:08:00Z</dcterms:modified>
</cp:coreProperties>
</file>